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25FB">
      <w:pPr>
        <w:jc w:val="right"/>
      </w:pPr>
      <w:r>
        <w:rPr>
          <w:b/>
          <w:bCs/>
        </w:rPr>
        <w:t>Policy: 6570</w:t>
      </w:r>
      <w:r>
        <w:rPr>
          <w:b/>
          <w:bCs/>
        </w:rPr>
        <w:br/>
        <w:t>Section: 6000 - Management Support</w:t>
      </w:r>
    </w:p>
    <w:p w:rsidR="00000000" w:rsidRDefault="004025F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025FB">
      <w:pPr>
        <w:rPr>
          <w:rFonts w:ascii="Times New Roman" w:eastAsia="Times New Roman" w:hAnsi="Times New Roman"/>
          <w:sz w:val="24"/>
          <w:szCs w:val="24"/>
        </w:rPr>
      </w:pPr>
    </w:p>
    <w:p w:rsidR="00000000" w:rsidRDefault="004025FB">
      <w:pPr>
        <w:pStyle w:val="NormalWeb"/>
        <w:rPr>
          <w:sz w:val="32"/>
          <w:szCs w:val="32"/>
        </w:rPr>
      </w:pPr>
      <w:r>
        <w:rPr>
          <w:b/>
          <w:bCs/>
          <w:sz w:val="32"/>
          <w:szCs w:val="32"/>
        </w:rPr>
        <w:t>Property and Data Management</w:t>
      </w:r>
    </w:p>
    <w:p w:rsidR="00000000" w:rsidRDefault="004025FB">
      <w:pPr>
        <w:rPr>
          <w:rFonts w:ascii="Times New Roman" w:eastAsia="Times New Roman" w:hAnsi="Times New Roman"/>
          <w:sz w:val="24"/>
          <w:szCs w:val="24"/>
        </w:rPr>
      </w:pPr>
    </w:p>
    <w:p w:rsidR="00000000" w:rsidRDefault="004025FB">
      <w:pPr>
        <w:pStyle w:val="NormalWeb"/>
      </w:pPr>
      <w:r>
        <w:rPr>
          <w:rStyle w:val="Strong"/>
          <w:sz w:val="17"/>
          <w:szCs w:val="17"/>
        </w:rPr>
        <w:t>Data Management</w:t>
      </w:r>
      <w:r>
        <w:rPr>
          <w:sz w:val="17"/>
          <w:szCs w:val="17"/>
        </w:rPr>
        <w:br/>
        <w:t>The superintendent is authorized to enter into a contract with the Washington School Information Processing Cooperative (WSIPC) to purchase a student information system, e</w:t>
      </w:r>
      <w:r>
        <w:rPr>
          <w:sz w:val="17"/>
          <w:szCs w:val="17"/>
        </w:rPr>
        <w:t>quipment, networking and software to expand the current K-12 education statewide network. The board will review the data management program annually.</w:t>
      </w:r>
    </w:p>
    <w:p w:rsidR="00000000" w:rsidRDefault="004025FB">
      <w:pPr>
        <w:pStyle w:val="NormalWeb"/>
      </w:pPr>
      <w:r>
        <w:br/>
      </w:r>
      <w:r>
        <w:rPr>
          <w:rStyle w:val="Strong"/>
          <w:sz w:val="17"/>
          <w:szCs w:val="17"/>
        </w:rPr>
        <w:t>Property Records</w:t>
      </w:r>
      <w:r>
        <w:rPr>
          <w:sz w:val="17"/>
          <w:szCs w:val="17"/>
        </w:rPr>
        <w:br/>
        <w:t>Property records and inventory records will be maintained on all land, buildings and per</w:t>
      </w:r>
      <w:r>
        <w:rPr>
          <w:sz w:val="17"/>
          <w:szCs w:val="17"/>
        </w:rPr>
        <w:t>sonal property under the control of the district.</w:t>
      </w:r>
    </w:p>
    <w:p w:rsidR="00000000" w:rsidRDefault="004025FB">
      <w:pPr>
        <w:pStyle w:val="NormalWeb"/>
      </w:pPr>
      <w:r>
        <w:br/>
      </w:r>
      <w:r>
        <w:rPr>
          <w:sz w:val="17"/>
          <w:szCs w:val="17"/>
        </w:rPr>
        <w:t>Property purchased in whole or in part with federal funds will be inventoried at least every two years. The inventory will include the serial number of the item, its cost and the percentage of federal fund</w:t>
      </w:r>
      <w:r>
        <w:rPr>
          <w:sz w:val="17"/>
          <w:szCs w:val="17"/>
        </w:rPr>
        <w:t>s used to purchase it.</w:t>
      </w:r>
    </w:p>
    <w:p w:rsidR="00000000" w:rsidRDefault="004025FB">
      <w:pPr>
        <w:pStyle w:val="NormalWeb"/>
      </w:pPr>
      <w:r>
        <w:br/>
      </w:r>
      <w:r>
        <w:rPr>
          <w:sz w:val="17"/>
          <w:szCs w:val="17"/>
        </w:rPr>
        <w:t>Small attractive items (e.g. computers, printers, projectors, tools, or other electronic devices) will be inventoried annually and will be signed out to staff. Sign-out records will also be maintained.</w:t>
      </w:r>
    </w:p>
    <w:p w:rsidR="00000000" w:rsidRDefault="004025FB">
      <w:pPr>
        <w:pStyle w:val="NormalWeb"/>
      </w:pPr>
      <w:r>
        <w:br/>
      </w:r>
      <w:r>
        <w:rPr>
          <w:sz w:val="17"/>
          <w:szCs w:val="17"/>
        </w:rPr>
        <w:t>At the end of each school yea</w:t>
      </w:r>
      <w:r>
        <w:rPr>
          <w:sz w:val="17"/>
          <w:szCs w:val="17"/>
        </w:rPr>
        <w:t>r each teacher will inventory the property items in his or her classroom. A randomly selected ten percent of those inventories will be double-checked by an employee of the business office.</w:t>
      </w:r>
    </w:p>
    <w:p w:rsidR="00000000" w:rsidRDefault="004025FB">
      <w:pPr>
        <w:pStyle w:val="NormalWeb"/>
      </w:pPr>
      <w:r>
        <w:br/>
      </w:r>
      <w:r>
        <w:rPr>
          <w:sz w:val="17"/>
          <w:szCs w:val="17"/>
        </w:rPr>
        <w:t>For purposes of this policy, “equipment” will mean a unit of furni</w:t>
      </w:r>
      <w:r>
        <w:rPr>
          <w:sz w:val="17"/>
          <w:szCs w:val="17"/>
        </w:rPr>
        <w:t>ture or furnishings, an instrument, a machine, an apparatus or a set of articles which retains its shape and appearance with use, is nonexpendable, and does not lose its identity when incorporated into a more complex unit. Property records of facilities wi</w:t>
      </w:r>
      <w:r>
        <w:rPr>
          <w:sz w:val="17"/>
          <w:szCs w:val="17"/>
        </w:rPr>
        <w:t>ll be maintained on an ongoing basis.</w:t>
      </w:r>
    </w:p>
    <w:p w:rsidR="00000000" w:rsidRDefault="004025FB">
      <w:pPr>
        <w:pStyle w:val="NormalWeb"/>
      </w:pPr>
      <w:r>
        <w:br/>
      </w:r>
      <w:r>
        <w:rPr>
          <w:sz w:val="17"/>
          <w:szCs w:val="17"/>
        </w:rPr>
        <w:t xml:space="preserve">No equipment will be removed for personal or </w:t>
      </w:r>
      <w:proofErr w:type="spellStart"/>
      <w:r>
        <w:rPr>
          <w:sz w:val="17"/>
          <w:szCs w:val="17"/>
        </w:rPr>
        <w:t>nonschool</w:t>
      </w:r>
      <w:proofErr w:type="spellEnd"/>
      <w:r>
        <w:rPr>
          <w:sz w:val="17"/>
          <w:szCs w:val="17"/>
        </w:rPr>
        <w:t xml:space="preserve"> use. Property records will show, as appropriate to each item recorded, the following:</w:t>
      </w:r>
      <w:r>
        <w:br/>
        <w:t> </w:t>
      </w:r>
    </w:p>
    <w:p w:rsidR="00000000" w:rsidRDefault="004025FB">
      <w:pPr>
        <w:numPr>
          <w:ilvl w:val="0"/>
          <w:numId w:val="1"/>
        </w:numPr>
      </w:pPr>
      <w:r>
        <w:rPr>
          <w:sz w:val="17"/>
          <w:szCs w:val="17"/>
        </w:rPr>
        <w:t>Description of the property;</w:t>
      </w:r>
      <w:r>
        <w:br/>
        <w:t> </w:t>
      </w:r>
    </w:p>
    <w:p w:rsidR="00000000" w:rsidRDefault="004025FB">
      <w:pPr>
        <w:numPr>
          <w:ilvl w:val="0"/>
          <w:numId w:val="1"/>
        </w:numPr>
      </w:pPr>
      <w:r>
        <w:rPr>
          <w:sz w:val="17"/>
          <w:szCs w:val="17"/>
        </w:rPr>
        <w:t>A serial number or other identification num</w:t>
      </w:r>
      <w:r>
        <w:rPr>
          <w:sz w:val="17"/>
          <w:szCs w:val="17"/>
        </w:rPr>
        <w:t>ber (equipment may be identified with a permanent tag that provides appropriate district and equipment identification.);</w:t>
      </w:r>
      <w:r>
        <w:br/>
        <w:t> </w:t>
      </w:r>
    </w:p>
    <w:p w:rsidR="00000000" w:rsidRDefault="004025FB">
      <w:pPr>
        <w:numPr>
          <w:ilvl w:val="0"/>
          <w:numId w:val="1"/>
        </w:numPr>
      </w:pPr>
      <w:r>
        <w:rPr>
          <w:sz w:val="17"/>
          <w:szCs w:val="17"/>
        </w:rPr>
        <w:t>Source of property;</w:t>
      </w:r>
      <w:r>
        <w:br/>
        <w:t> </w:t>
      </w:r>
    </w:p>
    <w:p w:rsidR="00000000" w:rsidRDefault="004025FB">
      <w:pPr>
        <w:numPr>
          <w:ilvl w:val="0"/>
          <w:numId w:val="1"/>
        </w:numPr>
      </w:pPr>
      <w:r>
        <w:rPr>
          <w:sz w:val="17"/>
          <w:szCs w:val="17"/>
        </w:rPr>
        <w:t>Who holds title;</w:t>
      </w:r>
      <w:r>
        <w:br/>
        <w:t> </w:t>
      </w:r>
    </w:p>
    <w:p w:rsidR="00000000" w:rsidRDefault="004025FB">
      <w:pPr>
        <w:numPr>
          <w:ilvl w:val="0"/>
          <w:numId w:val="1"/>
        </w:numPr>
      </w:pPr>
      <w:r>
        <w:rPr>
          <w:sz w:val="17"/>
          <w:szCs w:val="17"/>
        </w:rPr>
        <w:t>Manufacturer;</w:t>
      </w:r>
      <w:r>
        <w:br/>
        <w:t> </w:t>
      </w:r>
    </w:p>
    <w:p w:rsidR="00000000" w:rsidRDefault="004025FB">
      <w:pPr>
        <w:numPr>
          <w:ilvl w:val="0"/>
          <w:numId w:val="1"/>
        </w:numPr>
      </w:pPr>
      <w:r>
        <w:rPr>
          <w:sz w:val="17"/>
          <w:szCs w:val="17"/>
        </w:rPr>
        <w:t>Year of purchase;</w:t>
      </w:r>
      <w:r>
        <w:br/>
        <w:t> </w:t>
      </w:r>
    </w:p>
    <w:p w:rsidR="00000000" w:rsidRDefault="004025FB">
      <w:pPr>
        <w:numPr>
          <w:ilvl w:val="0"/>
          <w:numId w:val="1"/>
        </w:numPr>
      </w:pPr>
      <w:r>
        <w:rPr>
          <w:sz w:val="17"/>
          <w:szCs w:val="17"/>
        </w:rPr>
        <w:t>Initial cost;</w:t>
      </w:r>
      <w:r>
        <w:br/>
        <w:t> </w:t>
      </w:r>
    </w:p>
    <w:p w:rsidR="00000000" w:rsidRDefault="004025FB">
      <w:pPr>
        <w:numPr>
          <w:ilvl w:val="0"/>
          <w:numId w:val="1"/>
        </w:numPr>
      </w:pPr>
      <w:r>
        <w:rPr>
          <w:sz w:val="17"/>
          <w:szCs w:val="17"/>
        </w:rPr>
        <w:t>Percentage of federal participation in t</w:t>
      </w:r>
      <w:r>
        <w:rPr>
          <w:sz w:val="17"/>
          <w:szCs w:val="17"/>
        </w:rPr>
        <w:t>he cost of the property;</w:t>
      </w:r>
      <w:r>
        <w:br/>
        <w:t> </w:t>
      </w:r>
    </w:p>
    <w:p w:rsidR="00000000" w:rsidRDefault="004025FB">
      <w:pPr>
        <w:numPr>
          <w:ilvl w:val="0"/>
          <w:numId w:val="1"/>
        </w:numPr>
      </w:pPr>
      <w:r>
        <w:rPr>
          <w:sz w:val="17"/>
          <w:szCs w:val="17"/>
        </w:rPr>
        <w:t>Location;</w:t>
      </w:r>
      <w:r>
        <w:br/>
        <w:t> </w:t>
      </w:r>
    </w:p>
    <w:p w:rsidR="00000000" w:rsidRDefault="004025FB">
      <w:pPr>
        <w:numPr>
          <w:ilvl w:val="0"/>
          <w:numId w:val="1"/>
        </w:numPr>
      </w:pPr>
      <w:r>
        <w:rPr>
          <w:sz w:val="17"/>
          <w:szCs w:val="17"/>
        </w:rPr>
        <w:t>Condition and depreciation;</w:t>
      </w:r>
      <w:r>
        <w:br/>
        <w:t> </w:t>
      </w:r>
    </w:p>
    <w:p w:rsidR="00000000" w:rsidRDefault="004025FB">
      <w:pPr>
        <w:numPr>
          <w:ilvl w:val="0"/>
          <w:numId w:val="1"/>
        </w:numPr>
      </w:pPr>
      <w:r>
        <w:rPr>
          <w:sz w:val="17"/>
          <w:szCs w:val="17"/>
        </w:rPr>
        <w:lastRenderedPageBreak/>
        <w:t>Current valuation in conformity with insurance requirements; and</w:t>
      </w:r>
      <w:r>
        <w:br/>
        <w:t> </w:t>
      </w:r>
    </w:p>
    <w:p w:rsidR="004025FB" w:rsidRPr="004025FB" w:rsidRDefault="004025FB">
      <w:pPr>
        <w:numPr>
          <w:ilvl w:val="0"/>
          <w:numId w:val="1"/>
        </w:numPr>
      </w:pPr>
      <w:r>
        <w:rPr>
          <w:sz w:val="17"/>
          <w:szCs w:val="17"/>
        </w:rPr>
        <w:t>Disposition data including date of disposal and sale price of the property.</w:t>
      </w:r>
    </w:p>
    <w:p w:rsidR="004025FB" w:rsidRDefault="004025FB" w:rsidP="004025FB">
      <w:pPr>
        <w:ind w:left="720"/>
        <w:rPr>
          <w:sz w:val="17"/>
          <w:szCs w:val="17"/>
        </w:rPr>
      </w:pPr>
    </w:p>
    <w:p w:rsidR="004025FB" w:rsidRDefault="004025FB" w:rsidP="004025FB">
      <w:pPr>
        <w:ind w:left="720"/>
        <w:rPr>
          <w:sz w:val="17"/>
          <w:szCs w:val="17"/>
        </w:rPr>
      </w:pPr>
    </w:p>
    <w:p w:rsidR="00000000" w:rsidRDefault="004025FB" w:rsidP="004025FB">
      <w:pPr>
        <w:ind w:left="720"/>
      </w:pP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4025FB">
            <w:r>
              <w:t xml:space="preserve">Legal References: </w:t>
            </w:r>
          </w:p>
        </w:tc>
        <w:tc>
          <w:tcPr>
            <w:tcW w:w="0" w:type="auto"/>
            <w:vAlign w:val="center"/>
            <w:hideMark/>
          </w:tcPr>
          <w:p w:rsidR="00000000" w:rsidRDefault="004025FB">
            <w:r>
              <w:t xml:space="preserve">RCW 40.14.010 </w:t>
            </w:r>
            <w:r>
              <w:t xml:space="preserve">Definition and classification of public records </w:t>
            </w:r>
          </w:p>
        </w:tc>
      </w:tr>
      <w:tr w:rsidR="00000000">
        <w:trPr>
          <w:tblCellSpacing w:w="15" w:type="dxa"/>
        </w:trPr>
        <w:tc>
          <w:tcPr>
            <w:tcW w:w="3000" w:type="dxa"/>
            <w:vAlign w:val="center"/>
            <w:hideMark/>
          </w:tcPr>
          <w:p w:rsidR="00000000" w:rsidRDefault="004025FB"/>
        </w:tc>
        <w:tc>
          <w:tcPr>
            <w:tcW w:w="0" w:type="auto"/>
            <w:vAlign w:val="center"/>
            <w:hideMark/>
          </w:tcPr>
          <w:p w:rsidR="00000000" w:rsidRDefault="004025FB">
            <w:r>
              <w:t xml:space="preserve">RCW 42.56.070-080 Public Records Act – Documents and indexes to be made public; Facilities for copying – Availability of public records </w:t>
            </w:r>
          </w:p>
        </w:tc>
      </w:tr>
      <w:tr w:rsidR="00000000">
        <w:trPr>
          <w:tblCellSpacing w:w="15" w:type="dxa"/>
        </w:trPr>
        <w:tc>
          <w:tcPr>
            <w:tcW w:w="3000" w:type="dxa"/>
            <w:vAlign w:val="center"/>
            <w:hideMark/>
          </w:tcPr>
          <w:p w:rsidR="00000000" w:rsidRDefault="004025FB"/>
        </w:tc>
        <w:tc>
          <w:tcPr>
            <w:tcW w:w="0" w:type="auto"/>
            <w:vAlign w:val="center"/>
            <w:hideMark/>
          </w:tcPr>
          <w:p w:rsidR="00000000" w:rsidRDefault="004025FB">
            <w:r>
              <w:t xml:space="preserve">34 C.F.R. 80.32 </w:t>
            </w:r>
            <w:r>
              <w:t xml:space="preserve">Uniform administrative requirements for grants and cooperative agreements to state and local governments – Equipment </w:t>
            </w:r>
          </w:p>
        </w:tc>
      </w:tr>
      <w:tr w:rsidR="00000000">
        <w:trPr>
          <w:tblCellSpacing w:w="15" w:type="dxa"/>
        </w:trPr>
        <w:tc>
          <w:tcPr>
            <w:tcW w:w="3000" w:type="dxa"/>
            <w:vAlign w:val="center"/>
            <w:hideMark/>
          </w:tcPr>
          <w:p w:rsidR="00000000" w:rsidRDefault="004025FB"/>
        </w:tc>
        <w:tc>
          <w:tcPr>
            <w:tcW w:w="0" w:type="auto"/>
            <w:vAlign w:val="center"/>
            <w:hideMark/>
          </w:tcPr>
          <w:p w:rsidR="00000000" w:rsidRDefault="004025FB">
            <w:r>
              <w:t xml:space="preserve">School Districts and Educational Service Districts Records Retention Schedule </w:t>
            </w:r>
          </w:p>
        </w:tc>
      </w:tr>
      <w:tr w:rsidR="00000000">
        <w:trPr>
          <w:tblCellSpacing w:w="15" w:type="dxa"/>
        </w:trPr>
        <w:tc>
          <w:tcPr>
            <w:tcW w:w="3000" w:type="dxa"/>
            <w:vAlign w:val="center"/>
            <w:hideMark/>
          </w:tcPr>
          <w:p w:rsidR="00000000" w:rsidRDefault="004025FB"/>
        </w:tc>
        <w:tc>
          <w:tcPr>
            <w:tcW w:w="0" w:type="auto"/>
            <w:vAlign w:val="center"/>
            <w:hideMark/>
          </w:tcPr>
          <w:p w:rsidR="00000000" w:rsidRDefault="004025FB"/>
        </w:tc>
      </w:tr>
    </w:tbl>
    <w:p w:rsidR="00000000" w:rsidRDefault="004025FB">
      <w:pPr>
        <w:spacing w:after="240"/>
        <w:rPr>
          <w:rFonts w:ascii="Times New Roman" w:eastAsia="Times New Roman" w:hAnsi="Times New Roman"/>
          <w:sz w:val="24"/>
          <w:szCs w:val="24"/>
        </w:rPr>
      </w:pPr>
    </w:p>
    <w:p w:rsidR="004025FB" w:rsidRDefault="004025FB">
      <w:pPr>
        <w:pStyle w:val="NormalWeb"/>
      </w:pPr>
      <w:r>
        <w:t>Adoption Date: 4-26-16</w:t>
      </w:r>
    </w:p>
    <w:p w:rsidR="00000000" w:rsidRDefault="004025FB" w:rsidP="004025FB">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0B9"/>
    <w:multiLevelType w:val="multilevel"/>
    <w:tmpl w:val="9A08A4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025FB"/>
    <w:rsid w:val="0040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2016-03-21T20:07:00Z</dcterms:created>
  <dcterms:modified xsi:type="dcterms:W3CDTF">2016-03-21T20:07:00Z</dcterms:modified>
</cp:coreProperties>
</file>