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E3D">
      <w:pPr>
        <w:jc w:val="right"/>
      </w:pPr>
      <w:r>
        <w:rPr>
          <w:b/>
          <w:bCs/>
        </w:rPr>
        <w:t>Policy: 3120</w:t>
      </w:r>
      <w:r>
        <w:rPr>
          <w:b/>
          <w:bCs/>
        </w:rPr>
        <w:br/>
        <w:t>Section: 3000 - Students</w:t>
      </w:r>
    </w:p>
    <w:p w:rsidR="00000000" w:rsidRDefault="00FE4E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FE4E3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E4E3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Enrollment</w:t>
      </w:r>
    </w:p>
    <w:p w:rsidR="00000000" w:rsidRDefault="00FE4E3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E4E3D">
      <w:pPr>
        <w:pStyle w:val="NormalWeb"/>
      </w:pPr>
      <w:r>
        <w:rPr>
          <w:sz w:val="17"/>
          <w:szCs w:val="17"/>
        </w:rPr>
        <w:t xml:space="preserve">The superintendent will develop procedures for enrolling students, recording attendance behavior, and counseling and correcting students with attendance problems. When enrolling a student who has attended </w:t>
      </w:r>
      <w:r>
        <w:rPr>
          <w:sz w:val="17"/>
          <w:szCs w:val="17"/>
        </w:rPr>
        <w:t>school in another school district, the parent and student will be required to briefly indicate in writing whether or not the student has:</w:t>
      </w:r>
    </w:p>
    <w:p w:rsidR="00000000" w:rsidRDefault="00FE4E3D">
      <w:pPr>
        <w:pStyle w:val="NormalWeb"/>
      </w:pPr>
      <w:r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>Any history of placement in a special education program;</w:t>
      </w:r>
      <w:r>
        <w:br/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>Any past, current or pending disciplinary actions;</w:t>
      </w:r>
      <w:r>
        <w:br/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 xml:space="preserve">Any </w:t>
      </w:r>
      <w:r>
        <w:rPr>
          <w:sz w:val="17"/>
          <w:szCs w:val="17"/>
        </w:rPr>
        <w:t>history of violent behavior or convictions;</w:t>
      </w:r>
      <w:r>
        <w:br/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>Adjudications or diversion agreements related to a violent offense, a sex offense, inhaling toxic fumes, a drug offense, a liquor violation, assault, kidnapping, harassment, stalking or arson;</w:t>
      </w:r>
      <w:r>
        <w:br/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>Any unpaid fine</w:t>
      </w:r>
      <w:r>
        <w:rPr>
          <w:sz w:val="17"/>
          <w:szCs w:val="17"/>
        </w:rPr>
        <w:t>s or fees from other schools; and</w:t>
      </w:r>
      <w:r>
        <w:br/>
        <w:t> </w:t>
      </w:r>
    </w:p>
    <w:p w:rsidR="00000000" w:rsidRDefault="00FE4E3D">
      <w:pPr>
        <w:numPr>
          <w:ilvl w:val="0"/>
          <w:numId w:val="1"/>
        </w:numPr>
      </w:pPr>
      <w:r>
        <w:rPr>
          <w:sz w:val="17"/>
          <w:szCs w:val="17"/>
        </w:rPr>
        <w:t>Any health conditions affecting the student’s educational needs.</w:t>
      </w:r>
    </w:p>
    <w:p w:rsidR="00000000" w:rsidRDefault="00FE4E3D">
      <w:pPr>
        <w:pStyle w:val="NormalWeb"/>
      </w:pPr>
      <w:r>
        <w:t> </w:t>
      </w:r>
    </w:p>
    <w:p w:rsidR="00000000" w:rsidRDefault="00FE4E3D">
      <w:pPr>
        <w:pStyle w:val="NormalWeb"/>
      </w:pPr>
      <w:r>
        <w:rPr>
          <w:sz w:val="17"/>
          <w:szCs w:val="17"/>
        </w:rPr>
        <w:t>If the district receives information that a student has a history of disciplinary actions, criminal or violent behavior, or other behavior that indicates</w:t>
      </w:r>
      <w:r>
        <w:rPr>
          <w:sz w:val="17"/>
          <w:szCs w:val="17"/>
        </w:rPr>
        <w:t xml:space="preserve"> the student could be a threat to the safety of staff or students, the student’s teachers and building security personnel will be informed.</w:t>
      </w:r>
    </w:p>
    <w:p w:rsidR="00000000" w:rsidRDefault="00FE4E3D">
      <w:pPr>
        <w:pStyle w:val="NormalWeb"/>
      </w:pPr>
      <w:r>
        <w:t> </w:t>
      </w:r>
    </w:p>
    <w:p w:rsidR="00000000" w:rsidRDefault="00FE4E3D">
      <w:pPr>
        <w:pStyle w:val="NormalWeb"/>
      </w:pPr>
      <w:r>
        <w:rPr>
          <w:sz w:val="17"/>
          <w:szCs w:val="17"/>
        </w:rPr>
        <w:t>A district may require students or their parents to provide proof of residency within the district, such as copies</w:t>
      </w:r>
      <w:r>
        <w:rPr>
          <w:sz w:val="17"/>
          <w:szCs w:val="17"/>
        </w:rPr>
        <w:t xml:space="preserve"> of phone and water bills or lease agreements. </w:t>
      </w:r>
      <w:r>
        <w:rPr>
          <w:sz w:val="17"/>
          <w:szCs w:val="17"/>
        </w:rPr>
        <w:t>The request for enrollment may be made by the student, parent or guardian.</w:t>
      </w:r>
    </w:p>
    <w:p w:rsidR="00000000" w:rsidRDefault="00FE4E3D">
      <w:pPr>
        <w:pStyle w:val="NormalWeb"/>
      </w:pPr>
      <w:r>
        <w:t> </w:t>
      </w:r>
    </w:p>
    <w:p w:rsidR="00000000" w:rsidRDefault="00FE4E3D">
      <w:pPr>
        <w:pStyle w:val="NormalWeb"/>
      </w:pPr>
      <w:r>
        <w:rPr>
          <w:sz w:val="17"/>
          <w:szCs w:val="17"/>
        </w:rPr>
        <w:t>Since accurate enrollment and attend</w:t>
      </w:r>
      <w:r>
        <w:rPr>
          <w:sz w:val="17"/>
          <w:szCs w:val="17"/>
        </w:rPr>
        <w:t>ance records are essential both to obtain state financial reimbursement and to fulfill the district's responsibilities under the attendance laws, the district will be diligent in maintaining such records.</w:t>
      </w:r>
    </w:p>
    <w:p w:rsidR="00000000" w:rsidRDefault="00FE4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FE4E3D">
            <w:r>
              <w:t xml:space="preserve">RCW 28A.225.215 Enrollment of children without legal residences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>
            <w:r>
              <w:t xml:space="preserve">RCW 28A.225.330 Enrolling students from other districts — Requests for information and permanent records </w:t>
            </w:r>
            <w:r>
              <w:t xml:space="preserve">— Withheld transcripts — Immunity from liability — Notification to teachers and security personnel —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>
            <w:r>
              <w:t xml:space="preserve">WAC 392-121-108 Definitions — Enrollment exclusions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>
            <w:r>
              <w:t xml:space="preserve">WAC 392-121-122 Definitions —Full-time equivalent student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>
            <w:r>
              <w:t>WAC 392-121-182 Alter</w:t>
            </w:r>
            <w:r>
              <w:t xml:space="preserve">native learning experience requirements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>
            <w:r>
              <w:t xml:space="preserve">WAC 392-169-022 Running start student — Definition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E4E3D"/>
        </w:tc>
        <w:tc>
          <w:tcPr>
            <w:tcW w:w="0" w:type="auto"/>
            <w:vAlign w:val="center"/>
            <w:hideMark/>
          </w:tcPr>
          <w:p w:rsidR="00000000" w:rsidRDefault="00FE4E3D"/>
        </w:tc>
      </w:tr>
    </w:tbl>
    <w:p w:rsidR="00FE4E3D" w:rsidRDefault="00FE4E3D">
      <w:pPr>
        <w:pStyle w:val="NormalWeb"/>
      </w:pPr>
    </w:p>
    <w:p w:rsidR="00FE4E3D" w:rsidRDefault="00FE4E3D">
      <w:pPr>
        <w:pStyle w:val="NormalWeb"/>
      </w:pPr>
      <w:bookmarkStart w:id="0" w:name="_GoBack"/>
      <w:bookmarkEnd w:id="0"/>
      <w:r>
        <w:t>Adoption Date: 9-28-09; Revised Date: 4-26-16</w:t>
      </w:r>
    </w:p>
    <w:p w:rsidR="00000000" w:rsidRDefault="00FE4E3D" w:rsidP="00FE4E3D">
      <w:pPr>
        <w:pStyle w:val="NormalWeb"/>
        <w:rPr>
          <w:color w:val="999999"/>
        </w:rPr>
      </w:pPr>
      <w:r>
        <w:t>Easton School District</w:t>
      </w:r>
      <w:r>
        <w:t xml:space="preserve"> 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D3F"/>
    <w:multiLevelType w:val="multilevel"/>
    <w:tmpl w:val="24FE92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4E3D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2016-02-04T22:01:00Z</dcterms:created>
  <dcterms:modified xsi:type="dcterms:W3CDTF">2016-02-04T22:01:00Z</dcterms:modified>
</cp:coreProperties>
</file>