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69B3">
      <w:pPr>
        <w:jc w:val="right"/>
      </w:pPr>
      <w:r>
        <w:rPr>
          <w:b/>
          <w:bCs/>
        </w:rPr>
        <w:t>Policy: 6950</w:t>
      </w:r>
      <w:r>
        <w:rPr>
          <w:b/>
          <w:bCs/>
        </w:rPr>
        <w:br/>
        <w:t>Section: 6000 - Management Support</w:t>
      </w:r>
    </w:p>
    <w:p w:rsidR="00000000" w:rsidRDefault="00C669B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669B3">
      <w:pPr>
        <w:rPr>
          <w:rFonts w:ascii="Times New Roman" w:eastAsia="Times New Roman" w:hAnsi="Times New Roman"/>
          <w:sz w:val="24"/>
          <w:szCs w:val="24"/>
        </w:rPr>
      </w:pPr>
    </w:p>
    <w:p w:rsidR="00000000" w:rsidRDefault="00C669B3">
      <w:pPr>
        <w:pStyle w:val="NormalWeb"/>
        <w:rPr>
          <w:sz w:val="32"/>
          <w:szCs w:val="32"/>
        </w:rPr>
      </w:pPr>
      <w:r>
        <w:rPr>
          <w:b/>
          <w:bCs/>
          <w:sz w:val="32"/>
          <w:szCs w:val="32"/>
        </w:rPr>
        <w:t>Contractor Assurances, Surety Bonds and Insurance</w:t>
      </w:r>
    </w:p>
    <w:p w:rsidR="00000000" w:rsidRDefault="00C669B3">
      <w:pPr>
        <w:rPr>
          <w:rFonts w:ascii="Times New Roman" w:eastAsia="Times New Roman" w:hAnsi="Times New Roman"/>
          <w:sz w:val="24"/>
          <w:szCs w:val="24"/>
        </w:rPr>
      </w:pPr>
    </w:p>
    <w:p w:rsidR="00000000" w:rsidRDefault="00C669B3">
      <w:pPr>
        <w:pStyle w:val="NormalWeb"/>
      </w:pPr>
      <w:r>
        <w:rPr>
          <w:sz w:val="17"/>
          <w:szCs w:val="17"/>
        </w:rPr>
        <w:t>A contract will only be entered into with a contractor who is licensed or registered as required by the laws of this state.  A contractor will be granted a contract w</w:t>
      </w:r>
      <w:r>
        <w:rPr>
          <w:sz w:val="17"/>
          <w:szCs w:val="17"/>
        </w:rPr>
        <w:t xml:space="preserve">hen a statement is submitted and sworn to which states that the contractor is in compliance with the state laws relating to prevailing wage for public works and with state and federal laws relating to nondiscrimination in hiring. Such a statement may be a </w:t>
      </w:r>
      <w:r>
        <w:rPr>
          <w:sz w:val="17"/>
          <w:szCs w:val="17"/>
        </w:rPr>
        <w:t>provision or clause in the contract.</w:t>
      </w:r>
    </w:p>
    <w:p w:rsidR="00000000" w:rsidRDefault="00C669B3">
      <w:pPr>
        <w:pStyle w:val="NormalWeb"/>
      </w:pPr>
      <w:r>
        <w:br/>
      </w:r>
      <w:r>
        <w:rPr>
          <w:rStyle w:val="Strong"/>
          <w:sz w:val="17"/>
          <w:szCs w:val="17"/>
        </w:rPr>
        <w:t>Contractor Surety Bonds and Insurance</w:t>
      </w:r>
      <w:r>
        <w:rPr>
          <w:sz w:val="17"/>
          <w:szCs w:val="17"/>
        </w:rPr>
        <w:br/>
      </w:r>
      <w:proofErr w:type="gramStart"/>
      <w:r>
        <w:rPr>
          <w:sz w:val="17"/>
          <w:szCs w:val="17"/>
        </w:rPr>
        <w:t>Each</w:t>
      </w:r>
      <w:proofErr w:type="gramEnd"/>
      <w:r>
        <w:rPr>
          <w:sz w:val="17"/>
          <w:szCs w:val="17"/>
        </w:rPr>
        <w:t xml:space="preserve"> contractor's bid must be accompanied by a certified or cashier's check, or bid bond in the amount of at least five percent of the total bid amount, excluding taxes. Bid deposi</w:t>
      </w:r>
      <w:r>
        <w:rPr>
          <w:sz w:val="17"/>
          <w:szCs w:val="17"/>
        </w:rPr>
        <w:t>ts pursuant to this policy may be based upon the architect's estimated cost of construction. Any bid which is not successful will entitle the bidder to a refund of its security or bond. The successful bidder will have the bond or security retained until su</w:t>
      </w:r>
      <w:r>
        <w:rPr>
          <w:sz w:val="17"/>
          <w:szCs w:val="17"/>
        </w:rPr>
        <w:t>ch a time as it is determined that the bidder will complete the contract. All bids received will specify whether the district or the contractor will carry fire, liability, or other insurance during construction.</w:t>
      </w:r>
    </w:p>
    <w:p w:rsidR="00000000" w:rsidRDefault="00C669B3">
      <w:pPr>
        <w:pStyle w:val="NormalWeb"/>
      </w:pPr>
      <w:r>
        <w:br/>
      </w:r>
      <w:r>
        <w:rPr>
          <w:sz w:val="17"/>
          <w:szCs w:val="17"/>
        </w:rPr>
        <w:t xml:space="preserve">The successful bidder is required to make, </w:t>
      </w:r>
      <w:r>
        <w:rPr>
          <w:sz w:val="17"/>
          <w:szCs w:val="17"/>
        </w:rPr>
        <w:t>execute and deliver to the board a good and sufficient performance bond with two or more sureties or a surety company which will state that the contractor will execute and faithfully perform the provisions of the contract and will pay all subcontractors an</w:t>
      </w:r>
      <w:r>
        <w:rPr>
          <w:sz w:val="17"/>
          <w:szCs w:val="17"/>
        </w:rPr>
        <w:t>d material men as required by law.</w:t>
      </w:r>
    </w:p>
    <w:p w:rsidR="00000000" w:rsidRDefault="00C669B3">
      <w:pPr>
        <w:pStyle w:val="NormalWeb"/>
      </w:pPr>
      <w:r>
        <w:br/>
      </w:r>
      <w:r>
        <w:rPr>
          <w:rStyle w:val="Strong"/>
          <w:sz w:val="17"/>
          <w:szCs w:val="17"/>
        </w:rPr>
        <w:t>Change Orders</w:t>
      </w:r>
      <w:r>
        <w:rPr>
          <w:sz w:val="17"/>
          <w:szCs w:val="17"/>
        </w:rPr>
        <w:br/>
      </w:r>
      <w:proofErr w:type="gramStart"/>
      <w:r>
        <w:rPr>
          <w:sz w:val="17"/>
          <w:szCs w:val="17"/>
        </w:rPr>
        <w:t>The</w:t>
      </w:r>
      <w:proofErr w:type="gramEnd"/>
      <w:r>
        <w:rPr>
          <w:sz w:val="17"/>
          <w:szCs w:val="17"/>
        </w:rPr>
        <w:t xml:space="preserve"> board will approve authorized change orders which arise during construction. In order to facilitate timely progress during construction, the board may grant the superintendent authority to authorize cha</w:t>
      </w:r>
      <w:r>
        <w:rPr>
          <w:sz w:val="17"/>
          <w:szCs w:val="17"/>
        </w:rPr>
        <w:t>nge orders if additional cost to the district does not exceed the approved contingency for the project or extend beyond its original scope.</w:t>
      </w:r>
    </w:p>
    <w:p w:rsidR="00000000" w:rsidRDefault="00C669B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C669B3">
            <w:r>
              <w:t xml:space="preserve">Legal References: </w:t>
            </w:r>
          </w:p>
        </w:tc>
        <w:tc>
          <w:tcPr>
            <w:tcW w:w="0" w:type="auto"/>
            <w:vAlign w:val="center"/>
            <w:hideMark/>
          </w:tcPr>
          <w:p w:rsidR="00000000" w:rsidRDefault="00C669B3">
            <w:r>
              <w:t>RCW 39.06.010 Contracts with unregistered or unlicensed contractors and with other violat</w:t>
            </w:r>
            <w:r>
              <w:t xml:space="preserve">ors prohibited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r>
              <w:t xml:space="preserve">RCW 39.08.010 Bond required — Conditions- Retention of contract amount in lieu of bond — Contracts of one-hundred-thousand dollars or less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r>
              <w:t xml:space="preserve">Chapter 39.12 RCW Prevailing wages on public works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r>
              <w:t xml:space="preserve">Chapter 49.60.180 RCW </w:t>
            </w:r>
            <w:r>
              <w:t xml:space="preserve">Unfair practices of employment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r>
              <w:t xml:space="preserve">42 U.S.C. 2000c et. seq. Title VII of Civil Rights Act of 1964 (amended by CRA of 1991);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r>
              <w:t xml:space="preserve">29 USC 794 Section 504, Rehabilitation Act of 1973 </w:t>
            </w:r>
          </w:p>
        </w:tc>
      </w:tr>
      <w:tr w:rsidR="00000000">
        <w:trPr>
          <w:tblCellSpacing w:w="15" w:type="dxa"/>
        </w:trPr>
        <w:tc>
          <w:tcPr>
            <w:tcW w:w="3000" w:type="dxa"/>
            <w:vAlign w:val="center"/>
            <w:hideMark/>
          </w:tcPr>
          <w:p w:rsidR="00000000" w:rsidRDefault="00C669B3"/>
        </w:tc>
        <w:tc>
          <w:tcPr>
            <w:tcW w:w="0" w:type="auto"/>
            <w:vAlign w:val="center"/>
            <w:hideMark/>
          </w:tcPr>
          <w:p w:rsidR="00000000" w:rsidRDefault="00C669B3"/>
        </w:tc>
      </w:tr>
    </w:tbl>
    <w:p w:rsidR="00000000" w:rsidRDefault="00C669B3">
      <w:pPr>
        <w:spacing w:after="240"/>
        <w:rPr>
          <w:rFonts w:ascii="Times New Roman" w:eastAsia="Times New Roman" w:hAnsi="Times New Roman"/>
          <w:sz w:val="24"/>
          <w:szCs w:val="24"/>
        </w:rPr>
      </w:pPr>
    </w:p>
    <w:p w:rsidR="00C669B3" w:rsidRDefault="00C669B3">
      <w:pPr>
        <w:pStyle w:val="NormalWeb"/>
      </w:pPr>
      <w:r>
        <w:t>Adoption Date: 9-28-09; Revised Date: 4-26-16</w:t>
      </w:r>
    </w:p>
    <w:p w:rsidR="00000000" w:rsidRDefault="00C669B3" w:rsidP="00C669B3">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669B3"/>
    <w:rsid w:val="00C6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2016-03-21T21:07:00Z</dcterms:created>
  <dcterms:modified xsi:type="dcterms:W3CDTF">2016-03-21T21:07:00Z</dcterms:modified>
</cp:coreProperties>
</file>